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14" w:rsidRPr="00964035" w:rsidRDefault="00AF6A14" w:rsidP="00964035">
      <w:pPr>
        <w:spacing w:after="120" w:line="274" w:lineRule="auto"/>
        <w:jc w:val="center"/>
        <w:rPr>
          <w:b/>
          <w:smallCaps/>
        </w:rPr>
      </w:pPr>
      <w:r w:rsidRPr="00964035">
        <w:rPr>
          <w:b/>
          <w:smallCaps/>
        </w:rPr>
        <w:t>Indian Health Service</w:t>
      </w:r>
      <w:bookmarkStart w:id="0" w:name="_GoBack"/>
      <w:bookmarkEnd w:id="0"/>
    </w:p>
    <w:p w:rsidR="00444F16" w:rsidRDefault="00444F16" w:rsidP="00964035">
      <w:pPr>
        <w:spacing w:after="120" w:line="274" w:lineRule="auto"/>
        <w:rPr>
          <w:b/>
          <w:smallCaps/>
        </w:rPr>
      </w:pPr>
    </w:p>
    <w:p w:rsidR="00812B56" w:rsidRPr="00964035" w:rsidRDefault="003E659E" w:rsidP="00964035">
      <w:pPr>
        <w:spacing w:after="120" w:line="274" w:lineRule="auto"/>
        <w:rPr>
          <w:b/>
          <w:smallCaps/>
        </w:rPr>
      </w:pPr>
      <w:r w:rsidRPr="00964035">
        <w:rPr>
          <w:b/>
          <w:smallCaps/>
        </w:rPr>
        <w:t>Brief Narrative</w:t>
      </w:r>
    </w:p>
    <w:p w:rsidR="00AF6A14" w:rsidRPr="00964035" w:rsidRDefault="00AF6A14" w:rsidP="00964035">
      <w:pPr>
        <w:pStyle w:val="NormalWeb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>The Indian Health Service (IHS) is the principal federal health care provider</w:t>
      </w:r>
      <w:r w:rsidR="00C52BE8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964035">
        <w:rPr>
          <w:rFonts w:asciiTheme="minorHAnsi" w:hAnsiTheme="minorHAnsi"/>
          <w:sz w:val="22"/>
          <w:szCs w:val="22"/>
          <w:lang w:val="en"/>
        </w:rPr>
        <w:t>and health advocate for American Indians and Alaskan Natives (AI/AN) people.  Its goal is to raise the health status of AI/</w:t>
      </w:r>
      <w:proofErr w:type="gramStart"/>
      <w:r w:rsidRPr="00964035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Pr="00964035">
        <w:rPr>
          <w:rFonts w:asciiTheme="minorHAnsi" w:hAnsiTheme="minorHAnsi"/>
          <w:sz w:val="22"/>
          <w:szCs w:val="22"/>
          <w:lang w:val="en"/>
        </w:rPr>
        <w:t xml:space="preserve"> peoples and their communities by providing a comprehensive health service delivery system to members of 566 federally recognized Tribes located across 36 U.S. States.  </w:t>
      </w:r>
    </w:p>
    <w:p w:rsidR="00444F16" w:rsidRDefault="00444F16" w:rsidP="00964035">
      <w:pPr>
        <w:spacing w:after="120" w:line="274" w:lineRule="auto"/>
        <w:rPr>
          <w:b/>
          <w:smallCaps/>
        </w:rPr>
      </w:pPr>
    </w:p>
    <w:p w:rsidR="00AF6A14" w:rsidRPr="00964035" w:rsidRDefault="00AF6A14" w:rsidP="00964035">
      <w:pPr>
        <w:spacing w:after="120" w:line="274" w:lineRule="auto"/>
        <w:rPr>
          <w:b/>
          <w:smallCaps/>
        </w:rPr>
      </w:pPr>
      <w:r w:rsidRPr="00964035">
        <w:rPr>
          <w:b/>
          <w:smallCaps/>
        </w:rPr>
        <w:t>Detailed Narrative</w:t>
      </w:r>
    </w:p>
    <w:p w:rsidR="00AF6A14" w:rsidRPr="00964035" w:rsidRDefault="00AF6A14" w:rsidP="00964035">
      <w:pPr>
        <w:pStyle w:val="NormalWeb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>T</w:t>
      </w:r>
      <w:r w:rsidR="00C52BE8">
        <w:rPr>
          <w:rFonts w:asciiTheme="minorHAnsi" w:hAnsiTheme="minorHAnsi"/>
          <w:sz w:val="22"/>
          <w:szCs w:val="22"/>
          <w:lang w:val="en"/>
        </w:rPr>
        <w:t>he IHS is Agency within and Operating D</w:t>
      </w:r>
      <w:r w:rsidRPr="00964035">
        <w:rPr>
          <w:rFonts w:asciiTheme="minorHAnsi" w:hAnsiTheme="minorHAnsi"/>
          <w:sz w:val="22"/>
          <w:szCs w:val="22"/>
          <w:lang w:val="en"/>
        </w:rPr>
        <w:t>ivision of Department of Health and Human Services, and is responsible for providing federal health services to AI/</w:t>
      </w:r>
      <w:proofErr w:type="gramStart"/>
      <w:r w:rsidRPr="00964035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="00C52BE8">
        <w:rPr>
          <w:rFonts w:asciiTheme="minorHAnsi" w:hAnsiTheme="minorHAnsi"/>
          <w:sz w:val="22"/>
          <w:szCs w:val="22"/>
          <w:lang w:val="en"/>
        </w:rPr>
        <w:t xml:space="preserve"> people and communities. 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The provision of health services to members of federally-recognized tribes grew out of the special government-to-government relationship between the federal government and Indian tribes. This relationship, established in 1787, is based on Article I, Section 8 of the Constitution, and has been given form and substance by numerous treaties, laws, Supreme Court decisions, and Executive Orders. </w:t>
      </w:r>
    </w:p>
    <w:p w:rsidR="00AF6A14" w:rsidRPr="00964035" w:rsidRDefault="00AF6A14" w:rsidP="00071847">
      <w:pPr>
        <w:pStyle w:val="NormalWeb"/>
        <w:numPr>
          <w:ilvl w:val="0"/>
          <w:numId w:val="2"/>
        </w:numPr>
        <w:tabs>
          <w:tab w:val="left" w:pos="450"/>
        </w:tabs>
        <w:spacing w:before="0" w:beforeAutospacing="0" w:after="120" w:afterAutospacing="0" w:line="274" w:lineRule="auto"/>
        <w:ind w:left="1800" w:hanging="162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Style w:val="Strong"/>
          <w:rFonts w:asciiTheme="minorHAnsi" w:hAnsiTheme="minorHAnsi"/>
          <w:sz w:val="22"/>
          <w:szCs w:val="22"/>
          <w:lang w:val="en"/>
        </w:rPr>
        <w:t>Mission</w:t>
      </w:r>
      <w:r w:rsidR="00A872AE" w:rsidRPr="00964035">
        <w:rPr>
          <w:rStyle w:val="Strong"/>
          <w:rFonts w:asciiTheme="minorHAnsi" w:hAnsiTheme="minorHAnsi"/>
          <w:sz w:val="22"/>
          <w:szCs w:val="22"/>
          <w:lang w:val="en"/>
        </w:rPr>
        <w:tab/>
      </w:r>
      <w:r w:rsidR="00A872AE" w:rsidRPr="00964035">
        <w:rPr>
          <w:rStyle w:val="Strong"/>
          <w:rFonts w:asciiTheme="minorHAnsi" w:hAnsiTheme="minorHAnsi"/>
          <w:b w:val="0"/>
          <w:sz w:val="22"/>
          <w:szCs w:val="22"/>
          <w:lang w:val="en"/>
        </w:rPr>
        <w:t>R</w:t>
      </w:r>
      <w:r w:rsidRPr="00964035">
        <w:rPr>
          <w:rFonts w:asciiTheme="minorHAnsi" w:hAnsiTheme="minorHAnsi"/>
          <w:sz w:val="22"/>
          <w:szCs w:val="22"/>
          <w:lang w:val="en"/>
        </w:rPr>
        <w:t>aise the physical, mental, social, and spiritual health of American Indians and Alaska Natives to the highest level.</w:t>
      </w:r>
    </w:p>
    <w:p w:rsidR="00AF6A14" w:rsidRPr="00964035" w:rsidRDefault="00AF6A14" w:rsidP="00071847">
      <w:pPr>
        <w:pStyle w:val="NormalWeb"/>
        <w:numPr>
          <w:ilvl w:val="0"/>
          <w:numId w:val="2"/>
        </w:numPr>
        <w:tabs>
          <w:tab w:val="left" w:pos="450"/>
        </w:tabs>
        <w:spacing w:before="0" w:beforeAutospacing="0" w:after="120" w:afterAutospacing="0" w:line="274" w:lineRule="auto"/>
        <w:ind w:left="1800" w:hanging="162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Style w:val="Strong"/>
          <w:rFonts w:asciiTheme="minorHAnsi" w:hAnsiTheme="minorHAnsi"/>
          <w:sz w:val="22"/>
          <w:szCs w:val="22"/>
          <w:lang w:val="en"/>
        </w:rPr>
        <w:t>Goal</w:t>
      </w:r>
      <w:r w:rsidR="00A872AE" w:rsidRPr="00964035">
        <w:rPr>
          <w:rStyle w:val="Strong"/>
          <w:rFonts w:asciiTheme="minorHAnsi" w:hAnsiTheme="minorHAnsi"/>
          <w:sz w:val="22"/>
          <w:szCs w:val="22"/>
          <w:lang w:val="en"/>
        </w:rPr>
        <w:tab/>
      </w:r>
      <w:r w:rsidR="00A872AE" w:rsidRPr="00964035">
        <w:rPr>
          <w:rFonts w:asciiTheme="minorHAnsi" w:hAnsiTheme="minorHAnsi"/>
          <w:sz w:val="22"/>
          <w:szCs w:val="22"/>
          <w:lang w:val="en"/>
        </w:rPr>
        <w:t>A</w:t>
      </w:r>
      <w:r w:rsidRPr="00964035">
        <w:rPr>
          <w:rFonts w:asciiTheme="minorHAnsi" w:hAnsiTheme="minorHAnsi"/>
          <w:sz w:val="22"/>
          <w:szCs w:val="22"/>
          <w:lang w:val="en"/>
        </w:rPr>
        <w:t>ssure that comprehensive, culturally acceptable personal and public health services are available and accessible to A</w:t>
      </w:r>
      <w:r w:rsidR="00A872AE" w:rsidRPr="00964035">
        <w:rPr>
          <w:rFonts w:asciiTheme="minorHAnsi" w:hAnsiTheme="minorHAnsi"/>
          <w:sz w:val="22"/>
          <w:szCs w:val="22"/>
          <w:lang w:val="en"/>
        </w:rPr>
        <w:t>I/</w:t>
      </w:r>
      <w:proofErr w:type="gramStart"/>
      <w:r w:rsidR="00A872AE" w:rsidRPr="00964035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="00A872AE" w:rsidRPr="00964035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964035">
        <w:rPr>
          <w:rFonts w:asciiTheme="minorHAnsi" w:hAnsiTheme="minorHAnsi"/>
          <w:sz w:val="22"/>
          <w:szCs w:val="22"/>
          <w:lang w:val="en"/>
        </w:rPr>
        <w:t>people</w:t>
      </w:r>
      <w:r w:rsidR="00C52BE8">
        <w:rPr>
          <w:rFonts w:asciiTheme="minorHAnsi" w:hAnsiTheme="minorHAnsi"/>
          <w:sz w:val="22"/>
          <w:szCs w:val="22"/>
          <w:lang w:val="en"/>
        </w:rPr>
        <w:t xml:space="preserve"> and communities</w:t>
      </w:r>
      <w:r w:rsidRPr="00964035">
        <w:rPr>
          <w:rFonts w:asciiTheme="minorHAnsi" w:hAnsiTheme="minorHAnsi"/>
          <w:sz w:val="22"/>
          <w:szCs w:val="22"/>
          <w:lang w:val="en"/>
        </w:rPr>
        <w:t>.</w:t>
      </w:r>
    </w:p>
    <w:p w:rsidR="00AF6A14" w:rsidRDefault="00AF6A14" w:rsidP="00071847">
      <w:pPr>
        <w:pStyle w:val="NormalWeb"/>
        <w:numPr>
          <w:ilvl w:val="0"/>
          <w:numId w:val="2"/>
        </w:numPr>
        <w:tabs>
          <w:tab w:val="left" w:pos="450"/>
        </w:tabs>
        <w:spacing w:before="0" w:beforeAutospacing="0" w:after="120" w:afterAutospacing="0" w:line="274" w:lineRule="auto"/>
        <w:ind w:left="1800" w:hanging="162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Style w:val="Strong"/>
          <w:rFonts w:asciiTheme="minorHAnsi" w:hAnsiTheme="minorHAnsi"/>
          <w:sz w:val="22"/>
          <w:szCs w:val="22"/>
          <w:lang w:val="en"/>
        </w:rPr>
        <w:t>Foundation</w:t>
      </w:r>
      <w:r w:rsidR="00507956">
        <w:rPr>
          <w:rFonts w:asciiTheme="minorHAnsi" w:hAnsiTheme="minorHAnsi"/>
          <w:sz w:val="22"/>
          <w:szCs w:val="22"/>
          <w:lang w:val="en"/>
        </w:rPr>
        <w:tab/>
      </w:r>
      <w:r w:rsidR="00A872AE" w:rsidRPr="00964035">
        <w:rPr>
          <w:rFonts w:asciiTheme="minorHAnsi" w:hAnsiTheme="minorHAnsi"/>
          <w:sz w:val="22"/>
          <w:szCs w:val="22"/>
          <w:lang w:val="en"/>
        </w:rPr>
        <w:t>U</w:t>
      </w:r>
      <w:r w:rsidRPr="00964035">
        <w:rPr>
          <w:rFonts w:asciiTheme="minorHAnsi" w:hAnsiTheme="minorHAnsi"/>
          <w:sz w:val="22"/>
          <w:szCs w:val="22"/>
          <w:lang w:val="en"/>
        </w:rPr>
        <w:t>phold the Federal Government's obligation to promote healthy A</w:t>
      </w:r>
      <w:r w:rsidR="00A872AE" w:rsidRPr="00964035">
        <w:rPr>
          <w:rFonts w:asciiTheme="minorHAnsi" w:hAnsiTheme="minorHAnsi"/>
          <w:sz w:val="22"/>
          <w:szCs w:val="22"/>
          <w:lang w:val="en"/>
        </w:rPr>
        <w:t>I/</w:t>
      </w:r>
      <w:proofErr w:type="gramStart"/>
      <w:r w:rsidR="00A872AE" w:rsidRPr="00964035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="00A872AE" w:rsidRPr="00964035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964035">
        <w:rPr>
          <w:rFonts w:asciiTheme="minorHAnsi" w:hAnsiTheme="minorHAnsi"/>
          <w:sz w:val="22"/>
          <w:szCs w:val="22"/>
          <w:lang w:val="en"/>
        </w:rPr>
        <w:t>people, communities, and cultures</w:t>
      </w:r>
      <w:r w:rsidR="00A872AE" w:rsidRPr="00964035">
        <w:rPr>
          <w:rFonts w:asciiTheme="minorHAnsi" w:hAnsiTheme="minorHAnsi"/>
          <w:sz w:val="22"/>
          <w:szCs w:val="22"/>
          <w:lang w:val="en"/>
        </w:rPr>
        <w:t>,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 and </w:t>
      </w:r>
      <w:r w:rsidR="00C52BE8">
        <w:rPr>
          <w:rFonts w:asciiTheme="minorHAnsi" w:hAnsiTheme="minorHAnsi"/>
          <w:sz w:val="22"/>
          <w:szCs w:val="22"/>
          <w:lang w:val="en"/>
        </w:rPr>
        <w:t xml:space="preserve">to </w:t>
      </w:r>
      <w:r w:rsidRPr="00964035">
        <w:rPr>
          <w:rFonts w:asciiTheme="minorHAnsi" w:hAnsiTheme="minorHAnsi"/>
          <w:sz w:val="22"/>
          <w:szCs w:val="22"/>
          <w:lang w:val="en"/>
        </w:rPr>
        <w:t>honor and protect the</w:t>
      </w:r>
      <w:r w:rsidR="00C52BE8">
        <w:rPr>
          <w:rFonts w:asciiTheme="minorHAnsi" w:hAnsiTheme="minorHAnsi"/>
          <w:sz w:val="22"/>
          <w:szCs w:val="22"/>
          <w:lang w:val="en"/>
        </w:rPr>
        <w:t xml:space="preserve">ir </w:t>
      </w:r>
      <w:r w:rsidRPr="00964035">
        <w:rPr>
          <w:rFonts w:asciiTheme="minorHAnsi" w:hAnsiTheme="minorHAnsi"/>
          <w:sz w:val="22"/>
          <w:szCs w:val="22"/>
          <w:lang w:val="en"/>
        </w:rPr>
        <w:t>inherent sovereign</w:t>
      </w:r>
      <w:r w:rsidR="00C52BE8">
        <w:rPr>
          <w:rFonts w:asciiTheme="minorHAnsi" w:hAnsiTheme="minorHAnsi"/>
          <w:sz w:val="22"/>
          <w:szCs w:val="22"/>
          <w:lang w:val="en"/>
        </w:rPr>
        <w:t>ty</w:t>
      </w:r>
      <w:r w:rsidRPr="00964035">
        <w:rPr>
          <w:rFonts w:asciiTheme="minorHAnsi" w:hAnsiTheme="minorHAnsi"/>
          <w:sz w:val="22"/>
          <w:szCs w:val="22"/>
          <w:lang w:val="en"/>
        </w:rPr>
        <w:t>.</w:t>
      </w:r>
    </w:p>
    <w:p w:rsidR="00C52BE8" w:rsidRDefault="00067811" w:rsidP="00067811">
      <w:pPr>
        <w:pStyle w:val="NormalWeb"/>
        <w:spacing w:before="0" w:beforeAutospacing="0" w:after="120" w:afterAutospacing="0" w:line="274" w:lineRule="auto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Compared to other Federal, State, local, private, and Tribal partners, the </w:t>
      </w:r>
      <w:r w:rsidR="00507956" w:rsidRPr="00507956">
        <w:rPr>
          <w:rStyle w:val="Strong"/>
          <w:rFonts w:asciiTheme="minorHAnsi" w:hAnsiTheme="minorHAnsi"/>
          <w:b w:val="0"/>
          <w:sz w:val="22"/>
          <w:szCs w:val="22"/>
          <w:lang w:val="en"/>
        </w:rPr>
        <w:t>IHS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has a relatively small and limited role in emergency and disaster preparedness, response, and recovery in Indian Country. 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That said,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IHS recognizes the importance of the role they serve, and strives to ensure the provision and continuity of health services to </w:t>
      </w:r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>the AI/</w:t>
      </w:r>
      <w:proofErr w:type="gramStart"/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>AN</w:t>
      </w:r>
      <w:proofErr w:type="gramEnd"/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people and communities,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regardless of conditions </w:t>
      </w:r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in the affected area. 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Likewise, the IHS is committed to improving</w:t>
      </w:r>
      <w:r w:rsidR="0050795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communication, integration, </w:t>
      </w:r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and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>coordination a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cross all levels of emergency preparedness, response</w:t>
      </w:r>
      <w:r w:rsidR="00C52BE8">
        <w:rPr>
          <w:rStyle w:val="Strong"/>
          <w:rFonts w:asciiTheme="minorHAnsi" w:hAnsiTheme="minorHAnsi"/>
          <w:b w:val="0"/>
          <w:sz w:val="22"/>
          <w:szCs w:val="22"/>
          <w:lang w:val="en"/>
        </w:rPr>
        <w:t>,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and recovery.</w:t>
      </w:r>
    </w:p>
    <w:p w:rsidR="00067811" w:rsidRDefault="00C52BE8" w:rsidP="00067811">
      <w:pPr>
        <w:pStyle w:val="NormalWeb"/>
        <w:spacing w:before="0" w:beforeAutospacing="0" w:after="120" w:afterAutospacing="0" w:line="274" w:lineRule="auto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IHS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>responsibilities and support during emergencies and disasters in Indian Country generally falls into two broad categories; specifically, the pre and/or post phases pertaining to the issuance of a Federal disaster declaration by the President of the United States and/or a Public Health Emergency declaration by the Secretary of Health and Human Services.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</w:p>
    <w:p w:rsidR="00067811" w:rsidRDefault="001233F6" w:rsidP="00067811">
      <w:pPr>
        <w:pStyle w:val="NormalWeb"/>
        <w:numPr>
          <w:ilvl w:val="0"/>
          <w:numId w:val="3"/>
        </w:numPr>
        <w:spacing w:before="0" w:beforeAutospacing="0" w:after="120" w:afterAutospacing="0" w:line="274" w:lineRule="auto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Prior to or in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absence of 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 Federal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disaster and/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>or public health emergency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declaration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>, the IHS Health Care System seek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s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to sustain capability and operations supporting the affected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Tribal 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>community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so long as it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remains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necessary and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b</w:t>
      </w:r>
      <w:r w:rsidR="00067811">
        <w:rPr>
          <w:rStyle w:val="Strong"/>
          <w:rFonts w:asciiTheme="minorHAnsi" w:hAnsiTheme="minorHAnsi"/>
          <w:b w:val="0"/>
          <w:sz w:val="22"/>
          <w:szCs w:val="22"/>
          <w:lang w:val="en"/>
        </w:rPr>
        <w:t>eneficial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, and does not place Tribal members and service providers at unacceptable risk.</w:t>
      </w:r>
    </w:p>
    <w:p w:rsidR="00507956" w:rsidRDefault="00067811" w:rsidP="00067811">
      <w:pPr>
        <w:pStyle w:val="NormalWeb"/>
        <w:numPr>
          <w:ilvl w:val="0"/>
          <w:numId w:val="3"/>
        </w:numPr>
        <w:spacing w:before="0" w:beforeAutospacing="0" w:after="120" w:afterAutospacing="0" w:line="274" w:lineRule="auto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In anticipation of or response to a Federal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disaster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>and/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or public health emergency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declaration,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IHS Health Care System will continue to provide support to the Tribal community for as long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lastRenderedPageBreak/>
        <w:t xml:space="preserve">as it is able to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safely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do so,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>and/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or until such time as the broader State, Federal,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local,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or private response and recovery entities arrive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to render aid</w:t>
      </w:r>
      <w:r w:rsidR="00FE1561">
        <w:rPr>
          <w:rStyle w:val="Strong"/>
          <w:rFonts w:asciiTheme="minorHAnsi" w:hAnsiTheme="minorHAnsi"/>
          <w:b w:val="0"/>
          <w:sz w:val="22"/>
          <w:szCs w:val="22"/>
          <w:lang w:val="en"/>
        </w:rPr>
        <w:t>; at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which time, the IHS and/or Tribal health care providers will augment the larger medical response team</w:t>
      </w:r>
      <w:r w:rsidR="00FE156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(s), </w:t>
      </w:r>
      <w:r w:rsidR="001233F6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and/or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serve in liaison</w:t>
      </w:r>
      <w:r w:rsidR="00FE156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roles to ensure that the external 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responding service providers</w:t>
      </w:r>
      <w:r w:rsidR="00FE156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entities deliver culturally appropriate and acceptable care to the affected Tribal members and community</w:t>
      </w:r>
      <w:r w:rsidR="005A2839">
        <w:rPr>
          <w:rStyle w:val="Strong"/>
          <w:rFonts w:asciiTheme="minorHAnsi" w:hAnsiTheme="minorHAnsi"/>
          <w:b w:val="0"/>
          <w:sz w:val="22"/>
          <w:szCs w:val="22"/>
          <w:lang w:val="en"/>
        </w:rPr>
        <w:t>.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</w:p>
    <w:p w:rsidR="00507956" w:rsidRDefault="00507956" w:rsidP="00507956">
      <w:pPr>
        <w:pStyle w:val="NormalWeb"/>
        <w:tabs>
          <w:tab w:val="left" w:pos="540"/>
        </w:tabs>
        <w:spacing w:before="0" w:beforeAutospacing="0" w:after="120" w:afterAutospacing="0" w:line="274" w:lineRule="auto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</w:p>
    <w:p w:rsidR="003E659E" w:rsidRPr="00964035" w:rsidRDefault="003E659E" w:rsidP="00964035">
      <w:pPr>
        <w:spacing w:after="120" w:line="274" w:lineRule="auto"/>
        <w:rPr>
          <w:b/>
          <w:smallCaps/>
        </w:rPr>
      </w:pPr>
      <w:r w:rsidRPr="00964035">
        <w:rPr>
          <w:b/>
          <w:smallCaps/>
        </w:rPr>
        <w:t>Resources</w:t>
      </w:r>
    </w:p>
    <w:p w:rsidR="009D5CD2" w:rsidRPr="00964035" w:rsidRDefault="000C20D4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 xml:space="preserve">The IHS Health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Care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System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provides direct services,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resources, </w:t>
      </w:r>
      <w:r w:rsidR="00FE1561">
        <w:rPr>
          <w:rFonts w:asciiTheme="minorHAnsi" w:hAnsiTheme="minorHAnsi"/>
          <w:sz w:val="22"/>
          <w:szCs w:val="22"/>
          <w:lang w:val="en"/>
        </w:rPr>
        <w:t>and/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or otherwise </w:t>
      </w:r>
      <w:r w:rsidRPr="00964035">
        <w:rPr>
          <w:rFonts w:asciiTheme="minorHAnsi" w:hAnsiTheme="minorHAnsi"/>
          <w:sz w:val="22"/>
          <w:szCs w:val="22"/>
          <w:lang w:val="en"/>
        </w:rPr>
        <w:t>facilitates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 the delivery of </w:t>
      </w:r>
      <w:r w:rsidRPr="00964035">
        <w:rPr>
          <w:rFonts w:asciiTheme="minorHAnsi" w:hAnsiTheme="minorHAnsi"/>
          <w:sz w:val="22"/>
          <w:szCs w:val="22"/>
          <w:lang w:val="en"/>
        </w:rPr>
        <w:t>therapeutic and preventive care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,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including clinical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and preventive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care, and environmental, educational, and outreach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programs and </w:t>
      </w:r>
      <w:r w:rsidRPr="00964035">
        <w:rPr>
          <w:rFonts w:asciiTheme="minorHAnsi" w:hAnsiTheme="minorHAnsi"/>
          <w:sz w:val="22"/>
          <w:szCs w:val="22"/>
          <w:lang w:val="en"/>
        </w:rPr>
        <w:t>activities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to improve the health and wellbeing of AI/</w:t>
      </w:r>
      <w:proofErr w:type="gramStart"/>
      <w:r w:rsidR="009D5CD2" w:rsidRPr="00964035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="00FE1561">
        <w:rPr>
          <w:rFonts w:asciiTheme="minorHAnsi" w:hAnsiTheme="minorHAnsi"/>
          <w:sz w:val="22"/>
          <w:szCs w:val="22"/>
          <w:lang w:val="en"/>
        </w:rPr>
        <w:t xml:space="preserve"> people and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communities.  </w:t>
      </w:r>
      <w:r w:rsidR="00FE1561">
        <w:rPr>
          <w:rFonts w:asciiTheme="minorHAnsi" w:hAnsiTheme="minorHAnsi"/>
          <w:sz w:val="22"/>
          <w:szCs w:val="22"/>
          <w:lang w:val="en"/>
        </w:rPr>
        <w:t>The method of d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elivery of IHS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provided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h</w:t>
      </w:r>
      <w:r w:rsidRPr="00964035">
        <w:rPr>
          <w:rFonts w:asciiTheme="minorHAnsi" w:hAnsiTheme="minorHAnsi"/>
          <w:sz w:val="22"/>
          <w:szCs w:val="22"/>
          <w:lang w:val="en"/>
        </w:rPr>
        <w:t>ealth service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s is subject to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sovereign and respective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determination of </w:t>
      </w:r>
      <w:r w:rsidR="00FE1561">
        <w:rPr>
          <w:rFonts w:asciiTheme="minorHAnsi" w:hAnsiTheme="minorHAnsi"/>
          <w:sz w:val="22"/>
          <w:szCs w:val="22"/>
          <w:lang w:val="en"/>
        </w:rPr>
        <w:t>each T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ribe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; and,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may be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provided directly by the IHS, through tribally contracted and operated health programs, </w:t>
      </w:r>
      <w:r w:rsidR="00FE1561">
        <w:rPr>
          <w:rFonts w:asciiTheme="minorHAnsi" w:hAnsiTheme="minorHAnsi"/>
          <w:sz w:val="22"/>
          <w:szCs w:val="22"/>
          <w:lang w:val="en"/>
        </w:rPr>
        <w:t>and/</w:t>
      </w:r>
      <w:r w:rsidRPr="00964035">
        <w:rPr>
          <w:rFonts w:asciiTheme="minorHAnsi" w:hAnsiTheme="minorHAnsi"/>
          <w:sz w:val="22"/>
          <w:szCs w:val="22"/>
          <w:lang w:val="en"/>
        </w:rPr>
        <w:t>or through services purchased from private providers.</w:t>
      </w:r>
    </w:p>
    <w:p w:rsidR="00964035" w:rsidRDefault="000C20D4" w:rsidP="00964035">
      <w:pPr>
        <w:pStyle w:val="coreaddresstop"/>
        <w:numPr>
          <w:ilvl w:val="0"/>
          <w:numId w:val="1"/>
        </w:numPr>
        <w:spacing w:before="0" w:beforeAutospacing="0" w:after="120" w:afterAutospacing="0" w:line="274" w:lineRule="auto"/>
        <w:ind w:left="54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FE1561">
        <w:rPr>
          <w:rFonts w:asciiTheme="minorHAnsi" w:hAnsiTheme="minorHAnsi"/>
          <w:sz w:val="22"/>
          <w:szCs w:val="22"/>
          <w:lang w:val="en"/>
        </w:rPr>
        <w:t>IHS F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ederal direct service system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 currently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 includes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:  </w:t>
      </w:r>
      <w:r w:rsidRPr="00964035">
        <w:rPr>
          <w:rFonts w:asciiTheme="minorHAnsi" w:hAnsiTheme="minorHAnsi"/>
          <w:sz w:val="22"/>
          <w:szCs w:val="22"/>
          <w:lang w:val="en"/>
        </w:rPr>
        <w:t>28 hospitals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 61 health centers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 34 health stations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;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and</w:t>
      </w:r>
      <w:r w:rsidR="00FE1561">
        <w:rPr>
          <w:rFonts w:asciiTheme="minorHAnsi" w:hAnsiTheme="minorHAnsi"/>
          <w:sz w:val="22"/>
          <w:szCs w:val="22"/>
          <w:lang w:val="en"/>
        </w:rPr>
        <w:t>, 34 u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rban Indian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 health projects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 that </w:t>
      </w:r>
      <w:r w:rsidRPr="00964035">
        <w:rPr>
          <w:rFonts w:asciiTheme="minorHAnsi" w:hAnsiTheme="minorHAnsi"/>
          <w:sz w:val="22"/>
          <w:szCs w:val="22"/>
          <w:lang w:val="en"/>
        </w:rPr>
        <w:t>provide a variety of health and referral services.</w:t>
      </w:r>
    </w:p>
    <w:p w:rsidR="00964035" w:rsidRDefault="009D5CD2" w:rsidP="00964035">
      <w:pPr>
        <w:pStyle w:val="coreaddresstop"/>
        <w:numPr>
          <w:ilvl w:val="0"/>
          <w:numId w:val="1"/>
        </w:numPr>
        <w:spacing w:before="0" w:beforeAutospacing="0" w:after="120" w:afterAutospacing="0" w:line="274" w:lineRule="auto"/>
        <w:ind w:left="54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>T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he IHS </w:t>
      </w:r>
      <w:r w:rsidR="00FE1561">
        <w:rPr>
          <w:rFonts w:asciiTheme="minorHAnsi" w:hAnsiTheme="minorHAnsi"/>
          <w:sz w:val="22"/>
          <w:szCs w:val="22"/>
          <w:lang w:val="en"/>
        </w:rPr>
        <w:t>F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ederal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clinical staff consists of approximately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: 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2590 nurses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790 physicians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660 pharmacists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670 engineers/sanitarians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330 physician assistants/nurse practitioners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and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,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290 dentists.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The IHS also employs various allied health professionals, such as nutritionists, health administrators, and medical records administrators.</w:t>
      </w:r>
    </w:p>
    <w:p w:rsidR="000C20D4" w:rsidRPr="00964035" w:rsidRDefault="009D5CD2" w:rsidP="00964035">
      <w:pPr>
        <w:pStyle w:val="coreaddresstop"/>
        <w:numPr>
          <w:ilvl w:val="0"/>
          <w:numId w:val="1"/>
        </w:numPr>
        <w:spacing w:before="0" w:beforeAutospacing="0" w:after="120" w:afterAutospacing="0" w:line="274" w:lineRule="auto"/>
        <w:ind w:left="540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 xml:space="preserve">Statutory provisions of Public Law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93-638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, as amended,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provide </w:t>
      </w:r>
      <w:r w:rsidR="00964035">
        <w:rPr>
          <w:rFonts w:asciiTheme="minorHAnsi" w:hAnsiTheme="minorHAnsi"/>
          <w:sz w:val="22"/>
          <w:szCs w:val="22"/>
          <w:lang w:val="en"/>
        </w:rPr>
        <w:t xml:space="preserve">for and 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enable the IHS to </w:t>
      </w:r>
      <w:r w:rsidR="00964035">
        <w:rPr>
          <w:rFonts w:asciiTheme="minorHAnsi" w:hAnsiTheme="minorHAnsi"/>
          <w:sz w:val="22"/>
          <w:szCs w:val="22"/>
          <w:lang w:val="en"/>
        </w:rPr>
        <w:t>enter into</w:t>
      </w:r>
      <w:r w:rsidRPr="00964035">
        <w:rPr>
          <w:rFonts w:asciiTheme="minorHAnsi" w:hAnsiTheme="minorHAnsi"/>
          <w:sz w:val="22"/>
          <w:szCs w:val="22"/>
          <w:lang w:val="en"/>
        </w:rPr>
        <w:t xml:space="preserve"> compacts and contracts with </w:t>
      </w:r>
      <w:r w:rsidR="00FE1561">
        <w:rPr>
          <w:rFonts w:asciiTheme="minorHAnsi" w:hAnsiTheme="minorHAnsi"/>
          <w:sz w:val="22"/>
          <w:szCs w:val="22"/>
          <w:lang w:val="en"/>
        </w:rPr>
        <w:t>T</w:t>
      </w:r>
      <w:r w:rsidRPr="00964035">
        <w:rPr>
          <w:rFonts w:asciiTheme="minorHAnsi" w:hAnsiTheme="minorHAnsi"/>
          <w:sz w:val="22"/>
          <w:szCs w:val="22"/>
          <w:lang w:val="en"/>
        </w:rPr>
        <w:t>ribes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 who </w:t>
      </w:r>
      <w:r w:rsidR="00964035">
        <w:rPr>
          <w:rFonts w:asciiTheme="minorHAnsi" w:hAnsiTheme="minorHAnsi"/>
          <w:sz w:val="22"/>
          <w:szCs w:val="22"/>
          <w:lang w:val="en"/>
        </w:rPr>
        <w:t xml:space="preserve">decide </w:t>
      </w:r>
      <w:r w:rsidRPr="00964035">
        <w:rPr>
          <w:rFonts w:asciiTheme="minorHAnsi" w:hAnsiTheme="minorHAnsi"/>
          <w:sz w:val="22"/>
          <w:szCs w:val="22"/>
          <w:lang w:val="en"/>
        </w:rPr>
        <w:t>to manage their own health services</w:t>
      </w:r>
      <w:r w:rsidR="00964035" w:rsidRPr="00964035">
        <w:rPr>
          <w:rFonts w:asciiTheme="minorHAnsi" w:hAnsiTheme="minorHAnsi"/>
          <w:sz w:val="22"/>
          <w:szCs w:val="22"/>
          <w:lang w:val="en"/>
        </w:rPr>
        <w:t xml:space="preserve">.  Through these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types of </w:t>
      </w:r>
      <w:r w:rsidR="00964035" w:rsidRPr="00964035">
        <w:rPr>
          <w:rFonts w:asciiTheme="minorHAnsi" w:hAnsiTheme="minorHAnsi"/>
          <w:sz w:val="22"/>
          <w:szCs w:val="22"/>
          <w:lang w:val="en"/>
        </w:rPr>
        <w:t xml:space="preserve">agreements,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A</w:t>
      </w:r>
      <w:r w:rsidR="00FE1561">
        <w:rPr>
          <w:rFonts w:asciiTheme="minorHAnsi" w:hAnsiTheme="minorHAnsi"/>
          <w:sz w:val="22"/>
          <w:szCs w:val="22"/>
          <w:lang w:val="en"/>
        </w:rPr>
        <w:t>I/</w:t>
      </w:r>
      <w:proofErr w:type="gramStart"/>
      <w:r w:rsidR="00FE1561">
        <w:rPr>
          <w:rFonts w:asciiTheme="minorHAnsi" w:hAnsiTheme="minorHAnsi"/>
          <w:sz w:val="22"/>
          <w:szCs w:val="22"/>
          <w:lang w:val="en"/>
        </w:rPr>
        <w:t>AN</w:t>
      </w:r>
      <w:proofErr w:type="gramEnd"/>
      <w:r w:rsidR="00FE1561">
        <w:rPr>
          <w:rFonts w:asciiTheme="minorHAnsi" w:hAnsiTheme="minorHAnsi"/>
          <w:sz w:val="22"/>
          <w:szCs w:val="22"/>
          <w:lang w:val="en"/>
        </w:rPr>
        <w:t xml:space="preserve"> communities and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corporations administer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: 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17 hospitals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249 health centers</w:t>
      </w:r>
      <w:r w:rsidR="00FE1561">
        <w:rPr>
          <w:rFonts w:asciiTheme="minorHAnsi" w:hAnsiTheme="minorHAnsi"/>
          <w:sz w:val="22"/>
          <w:szCs w:val="22"/>
          <w:lang w:val="en"/>
        </w:rPr>
        <w:t>;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70 health stations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;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and</w:t>
      </w:r>
      <w:r w:rsidR="00FE1561">
        <w:rPr>
          <w:rFonts w:asciiTheme="minorHAnsi" w:hAnsiTheme="minorHAnsi"/>
          <w:sz w:val="22"/>
          <w:szCs w:val="22"/>
          <w:lang w:val="en"/>
        </w:rPr>
        <w:t>,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164 Alaska</w:t>
      </w:r>
      <w:r w:rsidR="00FE1561">
        <w:rPr>
          <w:rFonts w:asciiTheme="minorHAnsi" w:hAnsiTheme="minorHAnsi"/>
          <w:sz w:val="22"/>
          <w:szCs w:val="22"/>
          <w:lang w:val="en"/>
        </w:rPr>
        <w:t>n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 xml:space="preserve"> village </w:t>
      </w:r>
      <w:r w:rsidR="00FE1561">
        <w:rPr>
          <w:rFonts w:asciiTheme="minorHAnsi" w:hAnsiTheme="minorHAnsi"/>
          <w:sz w:val="22"/>
          <w:szCs w:val="22"/>
          <w:lang w:val="en"/>
        </w:rPr>
        <w:t xml:space="preserve">health </w:t>
      </w:r>
      <w:r w:rsidR="000C20D4" w:rsidRPr="00964035">
        <w:rPr>
          <w:rFonts w:asciiTheme="minorHAnsi" w:hAnsiTheme="minorHAnsi"/>
          <w:sz w:val="22"/>
          <w:szCs w:val="22"/>
          <w:lang w:val="en"/>
        </w:rPr>
        <w:t>clinics.</w:t>
      </w:r>
    </w:p>
    <w:p w:rsidR="000C20D4" w:rsidRPr="00964035" w:rsidRDefault="003E2D0A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 w:rsidRPr="00964035">
        <w:rPr>
          <w:rFonts w:asciiTheme="minorHAnsi" w:hAnsiTheme="minorHAnsi"/>
          <w:sz w:val="22"/>
          <w:szCs w:val="22"/>
          <w:lang w:val="en"/>
        </w:rPr>
        <w:t xml:space="preserve">     </w:t>
      </w:r>
    </w:p>
    <w:p w:rsidR="003E2D0A" w:rsidRPr="00964035" w:rsidRDefault="00964035" w:rsidP="00964035">
      <w:pPr>
        <w:spacing w:after="120" w:line="274" w:lineRule="auto"/>
        <w:rPr>
          <w:rFonts w:eastAsia="Times New Roman" w:cs="Times New Roman"/>
          <w:b/>
          <w:bCs/>
          <w:smallCaps/>
          <w:lang w:val="en"/>
        </w:rPr>
      </w:pPr>
      <w:r w:rsidRPr="00964035">
        <w:rPr>
          <w:rFonts w:eastAsia="Times New Roman" w:cs="Times New Roman"/>
          <w:b/>
          <w:bCs/>
          <w:smallCaps/>
          <w:lang w:val="en"/>
        </w:rPr>
        <w:t>A</w:t>
      </w:r>
      <w:r>
        <w:rPr>
          <w:rFonts w:eastAsia="Times New Roman" w:cs="Times New Roman"/>
          <w:b/>
          <w:bCs/>
          <w:smallCaps/>
          <w:lang w:val="en"/>
        </w:rPr>
        <w:t>dditional Information</w:t>
      </w:r>
    </w:p>
    <w:p w:rsidR="00BF0BAB" w:rsidRDefault="00BF0BAB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The IHS does not host a centralized emergency operations center.  In the event of a</w:t>
      </w:r>
      <w:r w:rsidR="004B0ABF">
        <w:rPr>
          <w:rFonts w:asciiTheme="minorHAnsi" w:hAnsiTheme="minorHAnsi"/>
          <w:sz w:val="22"/>
          <w:szCs w:val="22"/>
          <w:lang w:val="en"/>
        </w:rPr>
        <w:t xml:space="preserve"> localized or </w:t>
      </w:r>
      <w:r w:rsidR="003F60CF">
        <w:rPr>
          <w:rFonts w:asciiTheme="minorHAnsi" w:hAnsiTheme="minorHAnsi"/>
          <w:sz w:val="22"/>
          <w:szCs w:val="22"/>
          <w:lang w:val="en"/>
        </w:rPr>
        <w:t>regional</w:t>
      </w:r>
      <w:r w:rsidR="004B0ABF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emergency, Federal, State, local, Tribal and NGO partners should contact the IHS as </w:t>
      </w:r>
      <w:r w:rsidR="004B0ABF">
        <w:rPr>
          <w:rFonts w:asciiTheme="minorHAnsi" w:hAnsiTheme="minorHAnsi"/>
          <w:sz w:val="22"/>
          <w:szCs w:val="22"/>
          <w:lang w:val="en"/>
        </w:rPr>
        <w:t>follows.</w:t>
      </w:r>
    </w:p>
    <w:p w:rsidR="00071847" w:rsidRDefault="004B0ABF" w:rsidP="00BF0BAB">
      <w:pPr>
        <w:pStyle w:val="coreaddresstop"/>
        <w:numPr>
          <w:ilvl w:val="0"/>
          <w:numId w:val="4"/>
        </w:numPr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Weekdays during normal business hours of 8:00am to 5:00pm [respective local time]</w:t>
      </w:r>
      <w:r w:rsidR="00BB4C83">
        <w:rPr>
          <w:rFonts w:asciiTheme="minorHAnsi" w:hAnsiTheme="minorHAnsi"/>
          <w:sz w:val="22"/>
          <w:szCs w:val="22"/>
          <w:lang w:val="en"/>
        </w:rPr>
        <w:t xml:space="preserve">, </w:t>
      </w:r>
      <w:r>
        <w:rPr>
          <w:rFonts w:asciiTheme="minorHAnsi" w:hAnsiTheme="minorHAnsi"/>
          <w:sz w:val="22"/>
          <w:szCs w:val="22"/>
          <w:lang w:val="en"/>
        </w:rPr>
        <w:t>c</w:t>
      </w:r>
      <w:r w:rsidR="00071847">
        <w:rPr>
          <w:rFonts w:asciiTheme="minorHAnsi" w:hAnsiTheme="minorHAnsi"/>
          <w:sz w:val="22"/>
          <w:szCs w:val="22"/>
          <w:lang w:val="en"/>
        </w:rPr>
        <w:t xml:space="preserve">ontact the IHS </w:t>
      </w:r>
      <w:r w:rsidR="00BF0BAB">
        <w:rPr>
          <w:rFonts w:asciiTheme="minorHAnsi" w:hAnsiTheme="minorHAnsi"/>
          <w:sz w:val="22"/>
          <w:szCs w:val="22"/>
          <w:lang w:val="en"/>
        </w:rPr>
        <w:t xml:space="preserve">Area Office </w:t>
      </w:r>
      <w:r w:rsidR="00071847">
        <w:rPr>
          <w:rFonts w:asciiTheme="minorHAnsi" w:hAnsiTheme="minorHAnsi"/>
          <w:sz w:val="22"/>
          <w:szCs w:val="22"/>
          <w:lang w:val="en"/>
        </w:rPr>
        <w:t xml:space="preserve">for </w:t>
      </w:r>
      <w:r w:rsidR="00BF0BAB">
        <w:rPr>
          <w:rFonts w:asciiTheme="minorHAnsi" w:hAnsiTheme="minorHAnsi"/>
          <w:sz w:val="22"/>
          <w:szCs w:val="22"/>
          <w:lang w:val="en"/>
        </w:rPr>
        <w:t>the</w:t>
      </w:r>
      <w:r w:rsidR="00071847">
        <w:rPr>
          <w:rFonts w:asciiTheme="minorHAnsi" w:hAnsiTheme="minorHAnsi"/>
          <w:sz w:val="22"/>
          <w:szCs w:val="22"/>
          <w:lang w:val="en"/>
        </w:rPr>
        <w:t xml:space="preserve"> </w:t>
      </w:r>
      <w:r w:rsidR="00BF0BAB">
        <w:rPr>
          <w:rFonts w:asciiTheme="minorHAnsi" w:hAnsiTheme="minorHAnsi"/>
          <w:sz w:val="22"/>
          <w:szCs w:val="22"/>
          <w:lang w:val="en"/>
        </w:rPr>
        <w:t xml:space="preserve">respective </w:t>
      </w:r>
      <w:r w:rsidR="00071847">
        <w:rPr>
          <w:rFonts w:asciiTheme="minorHAnsi" w:hAnsiTheme="minorHAnsi"/>
          <w:sz w:val="22"/>
          <w:szCs w:val="22"/>
          <w:lang w:val="en"/>
        </w:rPr>
        <w:t>U.S. State/R</w:t>
      </w:r>
      <w:r w:rsidR="00BF0BAB">
        <w:rPr>
          <w:rFonts w:asciiTheme="minorHAnsi" w:hAnsiTheme="minorHAnsi"/>
          <w:sz w:val="22"/>
          <w:szCs w:val="22"/>
          <w:lang w:val="en"/>
        </w:rPr>
        <w:t>egion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="00BF0BAB">
        <w:rPr>
          <w:rFonts w:asciiTheme="minorHAnsi" w:hAnsiTheme="minorHAnsi"/>
          <w:sz w:val="22"/>
          <w:szCs w:val="22"/>
          <w:lang w:val="en"/>
        </w:rPr>
        <w:t>indicated at Attachment-1.</w:t>
      </w:r>
    </w:p>
    <w:p w:rsidR="00507956" w:rsidRDefault="00BB4C83" w:rsidP="00BF0BAB">
      <w:pPr>
        <w:pStyle w:val="coreaddresstop"/>
        <w:numPr>
          <w:ilvl w:val="0"/>
          <w:numId w:val="4"/>
        </w:numPr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Weekdays outside of the above normal business hours, weekends and holidays, and at any other time in the absence of a response from the IHS Area Office indicated at Attachment-1, contact t</w:t>
      </w:r>
      <w:r w:rsidR="00071847">
        <w:rPr>
          <w:rFonts w:asciiTheme="minorHAnsi" w:hAnsiTheme="minorHAnsi"/>
          <w:sz w:val="22"/>
          <w:szCs w:val="22"/>
          <w:lang w:val="en"/>
        </w:rPr>
        <w:t xml:space="preserve">he </w:t>
      </w:r>
      <w:r w:rsidR="00507956">
        <w:rPr>
          <w:rFonts w:asciiTheme="minorHAnsi" w:hAnsiTheme="minorHAnsi"/>
          <w:sz w:val="22"/>
          <w:szCs w:val="22"/>
          <w:lang w:val="en"/>
        </w:rPr>
        <w:t xml:space="preserve">HHS Secretary’s Operations Center (HHS/SOC), at 202-619-7800 (voice), 202-619-8602 (fax), or </w:t>
      </w:r>
      <w:hyperlink r:id="rId8" w:history="1">
        <w:r w:rsidR="00507956" w:rsidRPr="008611A3">
          <w:rPr>
            <w:rStyle w:val="Hyperlink"/>
            <w:rFonts w:asciiTheme="minorHAnsi" w:hAnsiTheme="minorHAnsi"/>
            <w:sz w:val="22"/>
            <w:szCs w:val="22"/>
            <w:lang w:val="en"/>
          </w:rPr>
          <w:t>hhs.soc@hhs.gov</w:t>
        </w:r>
      </w:hyperlink>
      <w:r w:rsidR="00071847">
        <w:rPr>
          <w:rFonts w:asciiTheme="minorHAnsi" w:hAnsiTheme="minorHAnsi"/>
          <w:sz w:val="22"/>
          <w:szCs w:val="22"/>
          <w:lang w:val="en"/>
        </w:rPr>
        <w:t xml:space="preserve"> .</w:t>
      </w:r>
    </w:p>
    <w:p w:rsidR="005A2839" w:rsidRDefault="00507956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The IHS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website </w:t>
      </w:r>
      <w:hyperlink r:id="rId9" w:history="1">
        <w:r w:rsidR="009D5CD2" w:rsidRPr="00964035">
          <w:rPr>
            <w:rStyle w:val="Hyperlink"/>
            <w:rFonts w:asciiTheme="minorHAnsi" w:hAnsiTheme="minorHAnsi"/>
            <w:sz w:val="22"/>
            <w:szCs w:val="22"/>
            <w:lang w:val="en"/>
          </w:rPr>
          <w:t>http://www.ihs.gov</w:t>
        </w:r>
      </w:hyperlink>
      <w:r w:rsidR="009D5CD2" w:rsidRPr="00964035">
        <w:rPr>
          <w:rFonts w:asciiTheme="minorHAnsi" w:hAnsiTheme="minorHAnsi"/>
          <w:sz w:val="22"/>
          <w:szCs w:val="22"/>
          <w:lang w:val="en"/>
        </w:rPr>
        <w:t xml:space="preserve"> provide</w:t>
      </w:r>
      <w:r w:rsidR="00A31778">
        <w:rPr>
          <w:rFonts w:asciiTheme="minorHAnsi" w:hAnsiTheme="minorHAnsi"/>
          <w:sz w:val="22"/>
          <w:szCs w:val="22"/>
          <w:lang w:val="en"/>
        </w:rPr>
        <w:t>s</w:t>
      </w:r>
      <w:r w:rsidR="00786CB2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an abundance of </w:t>
      </w:r>
      <w:r w:rsidR="009D5CD2" w:rsidRPr="00964035">
        <w:rPr>
          <w:rFonts w:asciiTheme="minorHAnsi" w:hAnsiTheme="minorHAnsi"/>
          <w:sz w:val="22"/>
          <w:szCs w:val="22"/>
          <w:lang w:val="en"/>
        </w:rPr>
        <w:t>information and resource links pertaining to the Agency</w:t>
      </w:r>
      <w:r w:rsidR="00071847">
        <w:rPr>
          <w:rFonts w:asciiTheme="minorHAnsi" w:hAnsiTheme="minorHAnsi"/>
          <w:sz w:val="22"/>
          <w:szCs w:val="22"/>
          <w:lang w:val="en"/>
        </w:rPr>
        <w:t>.  A</w:t>
      </w:r>
      <w:r w:rsidR="00964035" w:rsidRPr="0096403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dditional </w:t>
      </w:r>
      <w:r w:rsidR="00786CB2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general and administrative </w:t>
      </w:r>
      <w:r w:rsidR="00A31778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Agency </w:t>
      </w:r>
      <w:r w:rsidR="00964035" w:rsidRPr="0096403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information </w:t>
      </w:r>
      <w:r w:rsidR="0007184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>c</w:t>
      </w:r>
      <w:r w:rsidR="00786CB2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an be obtained </w:t>
      </w:r>
      <w:r w:rsidR="00964035" w:rsidRPr="0096403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"/>
        </w:rPr>
        <w:t xml:space="preserve">from the </w:t>
      </w:r>
      <w:r w:rsidR="00964035" w:rsidRPr="00964035">
        <w:rPr>
          <w:rFonts w:asciiTheme="minorHAnsi" w:hAnsiTheme="minorHAnsi"/>
          <w:sz w:val="22"/>
          <w:szCs w:val="22"/>
          <w:lang w:val="en"/>
        </w:rPr>
        <w:t>IHS Public Affairs Staff at 301-443-3593.</w:t>
      </w:r>
    </w:p>
    <w:p w:rsidR="003F60CF" w:rsidRDefault="003F60CF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</w:p>
    <w:p w:rsidR="003F60CF" w:rsidRPr="00466AFF" w:rsidRDefault="003F60CF" w:rsidP="00964035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b/>
          <w:smallCaps/>
          <w:szCs w:val="22"/>
          <w:lang w:val="en"/>
        </w:rPr>
      </w:pPr>
      <w:r w:rsidRPr="00466AFF">
        <w:rPr>
          <w:rFonts w:asciiTheme="minorHAnsi" w:hAnsiTheme="minorHAnsi"/>
          <w:b/>
          <w:smallCaps/>
          <w:szCs w:val="22"/>
          <w:lang w:val="en"/>
        </w:rPr>
        <w:lastRenderedPageBreak/>
        <w:t>Attachment – 1</w:t>
      </w:r>
      <w:r w:rsidR="00466AFF" w:rsidRPr="00466AFF">
        <w:rPr>
          <w:rFonts w:asciiTheme="minorHAnsi" w:hAnsiTheme="minorHAnsi"/>
          <w:b/>
          <w:smallCaps/>
          <w:szCs w:val="22"/>
          <w:lang w:val="en"/>
        </w:rPr>
        <w:t>:  Indian Health Service Area Office Contact Information</w:t>
      </w:r>
    </w:p>
    <w:p w:rsidR="003F60CF" w:rsidRDefault="003F60CF" w:rsidP="003F60CF">
      <w:pPr>
        <w:pStyle w:val="coreaddresstop"/>
        <w:spacing w:before="0" w:beforeAutospacing="0" w:after="120" w:afterAutospacing="0" w:line="274" w:lineRule="auto"/>
        <w:jc w:val="center"/>
        <w:rPr>
          <w:rFonts w:asciiTheme="minorHAnsi" w:hAnsiTheme="minorHAnsi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08934D4D" wp14:editId="04018214">
            <wp:extent cx="6223000" cy="4002442"/>
            <wp:effectExtent l="19050" t="19050" r="25400" b="17145"/>
            <wp:docPr id="1" name="Picture 1" descr="http://www.ihs.gov/aboutihs/includes/themes/newihstheme/images/area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s.gov/aboutihs/includes/themes/newihstheme/images/areas_l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02" cy="40091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9825"/>
      </w:tblGrid>
      <w:tr w:rsidR="00466AFF" w:rsidRPr="00466AFF" w:rsidTr="004D42F4">
        <w:trPr>
          <w:trHeight w:val="396"/>
        </w:trPr>
        <w:tc>
          <w:tcPr>
            <w:tcW w:w="982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466AFF" w:rsidRPr="00466AFF" w:rsidRDefault="00466AFF" w:rsidP="00466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6"/>
                <w:szCs w:val="26"/>
              </w:rPr>
            </w:pPr>
          </w:p>
        </w:tc>
      </w:tr>
    </w:tbl>
    <w:p w:rsidR="00466AFF" w:rsidRPr="00964035" w:rsidRDefault="004D42F4" w:rsidP="003F60CF">
      <w:pPr>
        <w:pStyle w:val="coreaddresstop"/>
        <w:spacing w:before="0" w:beforeAutospacing="0" w:after="120" w:afterAutospacing="0" w:line="274" w:lineRule="auto"/>
        <w:rPr>
          <w:rFonts w:asciiTheme="minorHAnsi" w:hAnsiTheme="minorHAnsi"/>
          <w:sz w:val="22"/>
          <w:szCs w:val="22"/>
          <w:lang w:val="en"/>
        </w:rPr>
      </w:pPr>
      <w:r w:rsidRPr="004D42F4">
        <w:rPr>
          <w:noProof/>
        </w:rPr>
        <w:drawing>
          <wp:inline distT="0" distB="0" distL="0" distR="0" wp14:anchorId="0C69B015" wp14:editId="4D94D0F9">
            <wp:extent cx="6358467" cy="330700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23" cy="33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AFF" w:rsidRPr="00964035" w:rsidSect="000F2A78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89" w:rsidRDefault="00BD4689" w:rsidP="00CC0A0C">
      <w:pPr>
        <w:spacing w:after="0" w:line="240" w:lineRule="auto"/>
      </w:pPr>
      <w:r>
        <w:separator/>
      </w:r>
    </w:p>
  </w:endnote>
  <w:endnote w:type="continuationSeparator" w:id="0">
    <w:p w:rsidR="00BD4689" w:rsidRDefault="00BD4689" w:rsidP="00CC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89" w:rsidRDefault="00BD4689" w:rsidP="00CC0A0C">
      <w:pPr>
        <w:spacing w:after="0" w:line="240" w:lineRule="auto"/>
      </w:pPr>
      <w:r>
        <w:separator/>
      </w:r>
    </w:p>
  </w:footnote>
  <w:footnote w:type="continuationSeparator" w:id="0">
    <w:p w:rsidR="00BD4689" w:rsidRDefault="00BD4689" w:rsidP="00CC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290"/>
    <w:multiLevelType w:val="hybridMultilevel"/>
    <w:tmpl w:val="D0723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75C1B"/>
    <w:multiLevelType w:val="hybridMultilevel"/>
    <w:tmpl w:val="AC109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092B9B"/>
    <w:multiLevelType w:val="hybridMultilevel"/>
    <w:tmpl w:val="2572E83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5D00EF7"/>
    <w:multiLevelType w:val="hybridMultilevel"/>
    <w:tmpl w:val="82DCA2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E"/>
    <w:rsid w:val="00027DB6"/>
    <w:rsid w:val="00067811"/>
    <w:rsid w:val="00071847"/>
    <w:rsid w:val="000C20D4"/>
    <w:rsid w:val="000F2A78"/>
    <w:rsid w:val="001233F6"/>
    <w:rsid w:val="001410DD"/>
    <w:rsid w:val="001B644B"/>
    <w:rsid w:val="00396434"/>
    <w:rsid w:val="003A2B07"/>
    <w:rsid w:val="003D78B1"/>
    <w:rsid w:val="003E2D0A"/>
    <w:rsid w:val="003E659E"/>
    <w:rsid w:val="003F60CF"/>
    <w:rsid w:val="00405AA7"/>
    <w:rsid w:val="00444F16"/>
    <w:rsid w:val="00466AFF"/>
    <w:rsid w:val="004B0ABF"/>
    <w:rsid w:val="004D42F4"/>
    <w:rsid w:val="00507956"/>
    <w:rsid w:val="005A2839"/>
    <w:rsid w:val="005C3FA5"/>
    <w:rsid w:val="005F438E"/>
    <w:rsid w:val="00786CB2"/>
    <w:rsid w:val="008061EF"/>
    <w:rsid w:val="00812B56"/>
    <w:rsid w:val="008C1120"/>
    <w:rsid w:val="008F38ED"/>
    <w:rsid w:val="009252CA"/>
    <w:rsid w:val="00964035"/>
    <w:rsid w:val="00977F4D"/>
    <w:rsid w:val="009C4637"/>
    <w:rsid w:val="009D5CD2"/>
    <w:rsid w:val="009E1D8C"/>
    <w:rsid w:val="00A31778"/>
    <w:rsid w:val="00A41EE2"/>
    <w:rsid w:val="00A63D91"/>
    <w:rsid w:val="00A872AE"/>
    <w:rsid w:val="00AF6A14"/>
    <w:rsid w:val="00BB4C83"/>
    <w:rsid w:val="00BD4689"/>
    <w:rsid w:val="00BF0BAB"/>
    <w:rsid w:val="00C45B73"/>
    <w:rsid w:val="00C52BE8"/>
    <w:rsid w:val="00CC0A0C"/>
    <w:rsid w:val="00D81991"/>
    <w:rsid w:val="00E728DE"/>
    <w:rsid w:val="00F201E0"/>
    <w:rsid w:val="00F46D34"/>
    <w:rsid w:val="00F54E08"/>
    <w:rsid w:val="00F55D6A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14"/>
    <w:rPr>
      <w:b/>
      <w:bCs/>
    </w:rPr>
  </w:style>
  <w:style w:type="paragraph" w:customStyle="1" w:styleId="coreaddresstop">
    <w:name w:val="core_addresstop"/>
    <w:basedOn w:val="Normal"/>
    <w:rsid w:val="00AF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0C"/>
  </w:style>
  <w:style w:type="paragraph" w:styleId="Footer">
    <w:name w:val="footer"/>
    <w:basedOn w:val="Normal"/>
    <w:link w:val="FooterChar"/>
    <w:uiPriority w:val="99"/>
    <w:unhideWhenUsed/>
    <w:rsid w:val="00CC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0C"/>
  </w:style>
  <w:style w:type="character" w:styleId="LineNumber">
    <w:name w:val="line number"/>
    <w:basedOn w:val="DefaultParagraphFont"/>
    <w:uiPriority w:val="99"/>
    <w:semiHidden/>
    <w:unhideWhenUsed/>
    <w:rsid w:val="001B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A14"/>
    <w:rPr>
      <w:b/>
      <w:bCs/>
    </w:rPr>
  </w:style>
  <w:style w:type="paragraph" w:customStyle="1" w:styleId="coreaddresstop">
    <w:name w:val="core_addresstop"/>
    <w:basedOn w:val="Normal"/>
    <w:rsid w:val="00AF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0C"/>
  </w:style>
  <w:style w:type="paragraph" w:styleId="Footer">
    <w:name w:val="footer"/>
    <w:basedOn w:val="Normal"/>
    <w:link w:val="FooterChar"/>
    <w:uiPriority w:val="99"/>
    <w:unhideWhenUsed/>
    <w:rsid w:val="00CC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0C"/>
  </w:style>
  <w:style w:type="character" w:styleId="LineNumber">
    <w:name w:val="line number"/>
    <w:basedOn w:val="DefaultParagraphFont"/>
    <w:uiPriority w:val="99"/>
    <w:semiHidden/>
    <w:unhideWhenUsed/>
    <w:rsid w:val="001B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s.soc@hh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hs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IHS</Agency>
    <Final_x003f_ xmlns="ccecf307-0695-4acd-8b81-09eb200949fd">No</Final_x003f_>
    <Functional_x0020_Ares xmlns="ccecf307-0695-4acd-8b81-09eb200949fd">
      <Value>General Info</Value>
      <Value>Medical care personnel</Value>
    </Functional_x0020_Ares>
    <Description0 xmlns="ccecf307-0695-4acd-8b81-09eb200949fd" xsi:nil="true"/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</documentManagement>
</p:properties>
</file>

<file path=customXml/itemProps1.xml><?xml version="1.0" encoding="utf-8"?>
<ds:datastoreItem xmlns:ds="http://schemas.openxmlformats.org/officeDocument/2006/customXml" ds:itemID="{B336CB01-ADEA-4385-A9D8-A02B79C5EBCD}"/>
</file>

<file path=customXml/itemProps2.xml><?xml version="1.0" encoding="utf-8"?>
<ds:datastoreItem xmlns:ds="http://schemas.openxmlformats.org/officeDocument/2006/customXml" ds:itemID="{69F11A08-082E-4B42-B4C5-D60249A6E3F3}"/>
</file>

<file path=customXml/itemProps3.xml><?xml version="1.0" encoding="utf-8"?>
<ds:datastoreItem xmlns:ds="http://schemas.openxmlformats.org/officeDocument/2006/customXml" ds:itemID="{EF14A5F1-5138-46C2-A7ED-E69E60706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Mahon, John (IHS/HQ)</dc:creator>
  <cp:lastModifiedBy>Windows User</cp:lastModifiedBy>
  <cp:revision>2</cp:revision>
  <cp:lastPrinted>2014-09-16T16:12:00Z</cp:lastPrinted>
  <dcterms:created xsi:type="dcterms:W3CDTF">2015-02-04T18:27:00Z</dcterms:created>
  <dcterms:modified xsi:type="dcterms:W3CDTF">2015-02-04T18:27:00Z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TemplateUrl">
    <vt:lpwstr/>
  </property>
  <property fmtid="{D5CDD505-2E9C-101B-9397-08002B2CF9AE}" pid="4" name="Order">
    <vt:r8>13800</vt:r8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